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CC405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28.11.2019</w:t>
      </w:r>
      <w:r w:rsidR="00CD62E7">
        <w:rPr>
          <w:b/>
          <w:bCs/>
          <w:sz w:val="28"/>
          <w:szCs w:val="28"/>
        </w:rPr>
        <w:t xml:space="preserve"> 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243/5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286EE1" w:rsidRDefault="00CD62E7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D11DEB" w:rsidRPr="00131B4D">
        <w:rPr>
          <w:b/>
          <w:sz w:val="28"/>
          <w:szCs w:val="28"/>
        </w:rPr>
        <w:t>в</w:t>
      </w:r>
      <w:r w:rsidR="009452DB">
        <w:rPr>
          <w:b/>
          <w:sz w:val="28"/>
          <w:szCs w:val="28"/>
        </w:rPr>
        <w:t xml:space="preserve">становлення тарифів на медичні </w:t>
      </w:r>
    </w:p>
    <w:p w:rsidR="00286EE1" w:rsidRDefault="009452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послуги</w:t>
      </w:r>
      <w:r w:rsidR="00131B4D" w:rsidRPr="00131B4D">
        <w:rPr>
          <w:b/>
          <w:sz w:val="28"/>
          <w:szCs w:val="28"/>
        </w:rPr>
        <w:t xml:space="preserve"> </w:t>
      </w:r>
      <w:r w:rsidR="00286EE1">
        <w:rPr>
          <w:b/>
          <w:sz w:val="28"/>
          <w:szCs w:val="28"/>
        </w:rPr>
        <w:t xml:space="preserve">для проведення медичних </w:t>
      </w:r>
    </w:p>
    <w:p w:rsidR="009E63C7" w:rsidRPr="00131B4D" w:rsidRDefault="00286E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профілактичних оглядів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F56D2F" w:rsidRDefault="00B3557D" w:rsidP="00F56D2F">
      <w:pPr>
        <w:ind w:firstLine="708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Керуючись ст.</w:t>
      </w:r>
      <w:r w:rsidR="002775F0">
        <w:rPr>
          <w:sz w:val="28"/>
          <w:szCs w:val="28"/>
        </w:rPr>
        <w:t xml:space="preserve"> </w:t>
      </w:r>
      <w:r w:rsidR="0034787E">
        <w:rPr>
          <w:sz w:val="28"/>
          <w:szCs w:val="28"/>
        </w:rPr>
        <w:t>28, 32, 42, 50</w:t>
      </w:r>
      <w:r w:rsidR="00CD62E7">
        <w:rPr>
          <w:sz w:val="28"/>
          <w:szCs w:val="28"/>
        </w:rPr>
        <w:t xml:space="preserve"> Закону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9452DB">
        <w:rPr>
          <w:sz w:val="28"/>
          <w:szCs w:val="28"/>
        </w:rPr>
        <w:t>ст. 13 Закону України «Про ціни і ціноутворення»,</w:t>
      </w:r>
      <w:r w:rsidR="000516BB">
        <w:rPr>
          <w:sz w:val="28"/>
          <w:szCs w:val="28"/>
        </w:rPr>
        <w:t xml:space="preserve"> на підставі</w:t>
      </w:r>
      <w:r w:rsidR="00286EE1">
        <w:rPr>
          <w:sz w:val="28"/>
          <w:szCs w:val="28"/>
        </w:rPr>
        <w:t xml:space="preserve"> постанов Кабінету Міністрів України від 17 вересня 1996 року №1138 «Про затвердження переліку  платних послуг, які надаються в державних і комунальних закладах охорони здоров’я та вищих медичних навчальних закладах» (зі змінами</w:t>
      </w:r>
      <w:r w:rsidR="000516BB">
        <w:rPr>
          <w:sz w:val="28"/>
          <w:szCs w:val="28"/>
        </w:rPr>
        <w:t xml:space="preserve"> і доповненнями</w:t>
      </w:r>
      <w:r w:rsidR="00286EE1">
        <w:rPr>
          <w:sz w:val="28"/>
          <w:szCs w:val="28"/>
        </w:rPr>
        <w:t>), від 23 травня 2001 року №559 «Про затвердження переліку професій, виробництв та організацій, працівники яких підлягають обов’язковим профілактичним медичним оглядам, порядку проведення цих оглядів та видачі особистих медичних книжок» (зі змінами</w:t>
      </w:r>
      <w:r w:rsidR="000516BB">
        <w:rPr>
          <w:sz w:val="28"/>
          <w:szCs w:val="28"/>
        </w:rPr>
        <w:t xml:space="preserve"> та доповненнями</w:t>
      </w:r>
      <w:r w:rsidR="00286EE1">
        <w:rPr>
          <w:sz w:val="28"/>
          <w:szCs w:val="28"/>
        </w:rPr>
        <w:t>)</w:t>
      </w:r>
      <w:r w:rsidR="000516BB">
        <w:rPr>
          <w:sz w:val="28"/>
          <w:szCs w:val="28"/>
        </w:rPr>
        <w:t xml:space="preserve">, на виконання наказів Міністерства охорони здоров’я України від 23.07.2002 №280 «Щодо організації проведення обов’язкових профілактичних медичних оглядів працівників окремих професій, виробництв і організацій, діяльність яких пов’язана з обслуговуванням населення і може призвести до поширення інфекційних </w:t>
      </w:r>
      <w:proofErr w:type="spellStart"/>
      <w:r w:rsidR="000516BB">
        <w:rPr>
          <w:sz w:val="28"/>
          <w:szCs w:val="28"/>
        </w:rPr>
        <w:t>хвороб</w:t>
      </w:r>
      <w:proofErr w:type="spellEnd"/>
      <w:r w:rsidR="000516BB">
        <w:rPr>
          <w:sz w:val="28"/>
          <w:szCs w:val="28"/>
        </w:rPr>
        <w:t>» (зі змінами), від 21 травня 2007 року  №246 «Про затвердження Порядку проведення медичних глядів працівників певних категорій» (зі змінами)</w:t>
      </w:r>
      <w:r w:rsidR="0007516D">
        <w:rPr>
          <w:sz w:val="28"/>
          <w:szCs w:val="28"/>
        </w:rPr>
        <w:t xml:space="preserve">, </w:t>
      </w:r>
      <w:r w:rsidR="00CD62E7" w:rsidRPr="00F03F10">
        <w:rPr>
          <w:sz w:val="28"/>
          <w:szCs w:val="28"/>
          <w:shd w:val="clear" w:color="auto" w:fill="FFFFFF" w:themeFill="background1"/>
        </w:rPr>
        <w:t>з метою</w:t>
      </w:r>
      <w:r w:rsidR="00804F45">
        <w:rPr>
          <w:sz w:val="28"/>
          <w:szCs w:val="28"/>
          <w:shd w:val="clear" w:color="auto" w:fill="FFFFFF" w:themeFill="background1"/>
        </w:rPr>
        <w:t xml:space="preserve"> </w:t>
      </w:r>
      <w:r w:rsidR="000516BB">
        <w:rPr>
          <w:sz w:val="28"/>
          <w:szCs w:val="28"/>
          <w:shd w:val="clear" w:color="auto" w:fill="FFFFFF" w:themeFill="background1"/>
        </w:rPr>
        <w:t xml:space="preserve">впорядкування проведення медичних профілактичних оглядів, попередження розповсюдження інфекційних захворювань серед населення, </w:t>
      </w:r>
      <w:r w:rsidR="00CE3780">
        <w:rPr>
          <w:sz w:val="28"/>
          <w:szCs w:val="28"/>
          <w:shd w:val="clear" w:color="auto" w:fill="FFFFFF" w:themeFill="background1"/>
        </w:rPr>
        <w:t xml:space="preserve">своєчасного </w:t>
      </w:r>
      <w:r w:rsidR="000516BB">
        <w:rPr>
          <w:sz w:val="28"/>
          <w:szCs w:val="28"/>
          <w:shd w:val="clear" w:color="auto" w:fill="FFFFFF" w:themeFill="background1"/>
        </w:rPr>
        <w:t>виявлення</w:t>
      </w:r>
      <w:r w:rsidR="00CE3780">
        <w:rPr>
          <w:sz w:val="28"/>
          <w:szCs w:val="28"/>
          <w:shd w:val="clear" w:color="auto" w:fill="FFFFFF" w:themeFill="background1"/>
        </w:rPr>
        <w:t xml:space="preserve"> професійних захворювань</w:t>
      </w:r>
      <w:r w:rsidR="000516BB">
        <w:rPr>
          <w:sz w:val="28"/>
          <w:szCs w:val="28"/>
          <w:shd w:val="clear" w:color="auto" w:fill="FFFFFF" w:themeFill="background1"/>
        </w:rPr>
        <w:t xml:space="preserve"> та попередження виробничо зумовлених та професійних захворювань </w:t>
      </w:r>
      <w:r w:rsidR="00DF35CF">
        <w:rPr>
          <w:sz w:val="28"/>
          <w:szCs w:val="28"/>
          <w:shd w:val="clear" w:color="auto" w:fill="FFFFFF" w:themeFill="background1"/>
        </w:rPr>
        <w:t>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A0178E" w:rsidRPr="00A0178E" w:rsidRDefault="00053EC2" w:rsidP="00A0178E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A0178E">
        <w:rPr>
          <w:sz w:val="28"/>
          <w:szCs w:val="28"/>
        </w:rPr>
        <w:t>В</w:t>
      </w:r>
      <w:r w:rsidR="009452DB">
        <w:rPr>
          <w:sz w:val="28"/>
          <w:szCs w:val="28"/>
        </w:rPr>
        <w:t xml:space="preserve">становити тарифи на медичні послуги </w:t>
      </w:r>
      <w:r w:rsidR="00326FE8">
        <w:rPr>
          <w:sz w:val="28"/>
          <w:szCs w:val="28"/>
        </w:rPr>
        <w:t xml:space="preserve">для проведення медичних </w:t>
      </w:r>
      <w:r w:rsidR="00F56D2F">
        <w:rPr>
          <w:sz w:val="28"/>
          <w:szCs w:val="28"/>
        </w:rPr>
        <w:t xml:space="preserve">профілактичних оглядів </w:t>
      </w:r>
      <w:r w:rsidR="009452DB" w:rsidRPr="009452DB">
        <w:rPr>
          <w:sz w:val="28"/>
          <w:szCs w:val="28"/>
          <w:shd w:val="clear" w:color="auto" w:fill="FFFFFF" w:themeFill="background1"/>
        </w:rPr>
        <w:t>комунальн</w:t>
      </w:r>
      <w:r w:rsidR="00A0527B">
        <w:rPr>
          <w:sz w:val="28"/>
          <w:szCs w:val="28"/>
          <w:shd w:val="clear" w:color="auto" w:fill="FFFFFF" w:themeFill="background1"/>
        </w:rPr>
        <w:t>им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некомерційн</w:t>
      </w:r>
      <w:r w:rsidR="00146FF2">
        <w:rPr>
          <w:sz w:val="28"/>
          <w:szCs w:val="28"/>
          <w:shd w:val="clear" w:color="auto" w:fill="FFFFFF" w:themeFill="background1"/>
        </w:rPr>
        <w:t>им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підприємств</w:t>
      </w:r>
      <w:r w:rsidR="00146FF2">
        <w:rPr>
          <w:sz w:val="28"/>
          <w:szCs w:val="28"/>
          <w:shd w:val="clear" w:color="auto" w:fill="FFFFFF" w:themeFill="background1"/>
        </w:rPr>
        <w:t>ом</w:t>
      </w:r>
      <w:r w:rsidR="009452DB" w:rsidRPr="009452DB">
        <w:rPr>
          <w:sz w:val="28"/>
          <w:szCs w:val="28"/>
          <w:shd w:val="clear" w:color="auto" w:fill="FFFFFF" w:themeFill="background1"/>
        </w:rPr>
        <w:t xml:space="preserve"> «Територіальне медичне об'єднання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</w:r>
      <w:r w:rsidR="009452DB">
        <w:rPr>
          <w:sz w:val="28"/>
          <w:szCs w:val="28"/>
          <w:shd w:val="clear" w:color="auto" w:fill="FFFFFF" w:themeFill="background1"/>
        </w:rPr>
        <w:t xml:space="preserve"> з 01.12.2019 згідно з додатком.</w:t>
      </w:r>
    </w:p>
    <w:p w:rsidR="00053EC2" w:rsidRDefault="00053EC2" w:rsidP="00A0178E">
      <w:pPr>
        <w:pStyle w:val="a9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виконанням цього рішення покласти на  </w:t>
      </w:r>
      <w:r w:rsidR="00FA2678">
        <w:rPr>
          <w:sz w:val="28"/>
          <w:szCs w:val="28"/>
        </w:rPr>
        <w:t>першого заступника міського голови з питань діяльності виконавчих органів ради Рудакову І.</w:t>
      </w:r>
    </w:p>
    <w:p w:rsidR="00053EC2" w:rsidRDefault="00053EC2" w:rsidP="00136016">
      <w:pPr>
        <w:ind w:left="-142" w:firstLine="851"/>
        <w:jc w:val="both"/>
        <w:rPr>
          <w:sz w:val="28"/>
          <w:szCs w:val="28"/>
        </w:rPr>
      </w:pPr>
    </w:p>
    <w:p w:rsidR="00FD6E79" w:rsidRDefault="00CD62E7" w:rsidP="00242A5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0DA9" w:rsidRPr="00FA2678" w:rsidRDefault="009D348C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 </w:t>
      </w:r>
      <w:r w:rsidR="00CD62E7">
        <w:rPr>
          <w:sz w:val="28"/>
          <w:szCs w:val="28"/>
        </w:rPr>
        <w:t>Мелітопольськ</w:t>
      </w:r>
      <w:r>
        <w:rPr>
          <w:sz w:val="28"/>
          <w:szCs w:val="28"/>
        </w:rPr>
        <w:t>ої</w:t>
      </w:r>
      <w:r w:rsidR="00CD62E7">
        <w:rPr>
          <w:sz w:val="28"/>
          <w:szCs w:val="28"/>
        </w:rPr>
        <w:t xml:space="preserve"> міськ</w:t>
      </w:r>
      <w:r>
        <w:rPr>
          <w:sz w:val="28"/>
          <w:szCs w:val="28"/>
        </w:rPr>
        <w:t>ої ради</w:t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 w:rsidR="00CD62E7">
        <w:rPr>
          <w:sz w:val="28"/>
          <w:szCs w:val="28"/>
        </w:rPr>
        <w:tab/>
      </w:r>
      <w:r>
        <w:rPr>
          <w:sz w:val="28"/>
          <w:szCs w:val="28"/>
        </w:rPr>
        <w:t>Роман РОМАНОВ</w:t>
      </w:r>
    </w:p>
    <w:p w:rsidR="00700DA9" w:rsidRDefault="00700DA9">
      <w:pPr>
        <w:rPr>
          <w:sz w:val="26"/>
          <w:szCs w:val="26"/>
        </w:rPr>
      </w:pPr>
    </w:p>
    <w:p w:rsidR="00242A57" w:rsidRDefault="00242A57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361234" w:rsidRDefault="00361234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07516D" w:rsidRDefault="0007516D">
      <w:pPr>
        <w:rPr>
          <w:sz w:val="28"/>
          <w:szCs w:val="28"/>
        </w:rPr>
      </w:pPr>
    </w:p>
    <w:p w:rsidR="004D6C73" w:rsidRPr="001F3E6D" w:rsidRDefault="004D6C73" w:rsidP="00E41BA2">
      <w:pPr>
        <w:pStyle w:val="western"/>
        <w:spacing w:before="0" w:after="0"/>
        <w:ind w:left="5529"/>
        <w:rPr>
          <w:rFonts w:ascii="Times New Roman" w:hAnsi="Times New Roman" w:cs="Times New Roman"/>
          <w:bCs/>
          <w:sz w:val="24"/>
          <w:szCs w:val="24"/>
          <w:lang w:val="uk-UA"/>
        </w:rPr>
      </w:pPr>
      <w:bookmarkStart w:id="0" w:name="_GoBack"/>
      <w:bookmarkEnd w:id="0"/>
      <w:r w:rsidRPr="001F3E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Додаток </w:t>
      </w:r>
    </w:p>
    <w:p w:rsidR="004D6C73" w:rsidRPr="001F3E6D" w:rsidRDefault="004D6C73" w:rsidP="00E41BA2">
      <w:pPr>
        <w:pStyle w:val="western"/>
        <w:spacing w:before="0" w:after="0"/>
        <w:ind w:left="552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E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рішення </w:t>
      </w:r>
      <w:r w:rsidR="00E41BA2" w:rsidRPr="001F3E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виконавчого комітету</w:t>
      </w:r>
    </w:p>
    <w:p w:rsidR="004D6C73" w:rsidRPr="001F3E6D" w:rsidRDefault="004D6C73" w:rsidP="00E41BA2">
      <w:pPr>
        <w:pStyle w:val="western"/>
        <w:spacing w:before="0" w:after="0"/>
        <w:ind w:left="552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F3E6D">
        <w:rPr>
          <w:rFonts w:ascii="Times New Roman" w:hAnsi="Times New Roman" w:cs="Times New Roman"/>
          <w:bCs/>
          <w:sz w:val="24"/>
          <w:szCs w:val="24"/>
          <w:lang w:val="uk-UA"/>
        </w:rPr>
        <w:t>Мелітопольської міської</w:t>
      </w:r>
      <w:r w:rsidR="00E41BA2" w:rsidRPr="001F3E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F3E6D">
        <w:rPr>
          <w:rFonts w:ascii="Times New Roman" w:hAnsi="Times New Roman" w:cs="Times New Roman"/>
          <w:bCs/>
          <w:sz w:val="24"/>
          <w:szCs w:val="24"/>
          <w:lang w:val="uk-UA"/>
        </w:rPr>
        <w:t>ради Запорізької області</w:t>
      </w:r>
    </w:p>
    <w:p w:rsidR="004D6C73" w:rsidRPr="001F3E6D" w:rsidRDefault="00540BB6" w:rsidP="00E41BA2">
      <w:pPr>
        <w:pStyle w:val="western"/>
        <w:spacing w:before="0" w:after="0"/>
        <w:ind w:left="5529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CC405B">
        <w:rPr>
          <w:rFonts w:ascii="Times New Roman" w:hAnsi="Times New Roman" w:cs="Times New Roman"/>
          <w:bCs/>
          <w:sz w:val="24"/>
          <w:szCs w:val="24"/>
          <w:lang w:val="uk-UA"/>
        </w:rPr>
        <w:t>28.11.2019 № 243/5</w:t>
      </w:r>
    </w:p>
    <w:p w:rsidR="002C5130" w:rsidRDefault="002C5130" w:rsidP="00E41BA2">
      <w:pPr>
        <w:pStyle w:val="western"/>
        <w:spacing w:before="0" w:after="0"/>
        <w:ind w:left="5529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9545" w:type="dxa"/>
        <w:tblInd w:w="-426" w:type="dxa"/>
        <w:tblLook w:val="04A0" w:firstRow="1" w:lastRow="0" w:firstColumn="1" w:lastColumn="0" w:noHBand="0" w:noVBand="1"/>
      </w:tblPr>
      <w:tblGrid>
        <w:gridCol w:w="9613"/>
      </w:tblGrid>
      <w:tr w:rsidR="002C5130" w:rsidRPr="002C5130" w:rsidTr="006317AE">
        <w:trPr>
          <w:trHeight w:val="330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7AE" w:rsidRDefault="0034787E" w:rsidP="00242A57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  <w:r>
              <w:rPr>
                <w:b/>
                <w:bCs/>
                <w:sz w:val="26"/>
                <w:szCs w:val="26"/>
                <w:lang w:eastAsia="uk-UA"/>
              </w:rPr>
              <w:t>Тарифи на</w:t>
            </w:r>
            <w:r w:rsidR="00166DF5">
              <w:rPr>
                <w:b/>
                <w:bCs/>
                <w:sz w:val="26"/>
                <w:szCs w:val="26"/>
                <w:lang w:eastAsia="uk-UA"/>
              </w:rPr>
              <w:t xml:space="preserve"> медичні пос</w:t>
            </w:r>
            <w:r w:rsidR="00326FE8">
              <w:rPr>
                <w:b/>
                <w:bCs/>
                <w:sz w:val="26"/>
                <w:szCs w:val="26"/>
                <w:lang w:eastAsia="uk-UA"/>
              </w:rPr>
              <w:t xml:space="preserve">луги для проведення медичних </w:t>
            </w:r>
            <w:r w:rsidR="00166DF5">
              <w:rPr>
                <w:b/>
                <w:bCs/>
                <w:sz w:val="26"/>
                <w:szCs w:val="26"/>
                <w:lang w:eastAsia="uk-UA"/>
              </w:rPr>
              <w:t>профілактичних оглядів</w:t>
            </w:r>
            <w:r w:rsidR="002C5130" w:rsidRPr="002C5130">
              <w:rPr>
                <w:b/>
                <w:bCs/>
                <w:sz w:val="26"/>
                <w:szCs w:val="26"/>
                <w:lang w:eastAsia="uk-UA"/>
              </w:rPr>
              <w:t xml:space="preserve">, </w:t>
            </w:r>
            <w:r w:rsidR="00242A57">
              <w:rPr>
                <w:b/>
                <w:bCs/>
                <w:sz w:val="26"/>
                <w:szCs w:val="26"/>
                <w:lang w:eastAsia="uk-UA"/>
              </w:rPr>
              <w:t xml:space="preserve">які </w:t>
            </w:r>
            <w:r w:rsidR="002C5130" w:rsidRPr="002C5130">
              <w:rPr>
                <w:b/>
                <w:bCs/>
                <w:sz w:val="26"/>
                <w:szCs w:val="26"/>
                <w:lang w:eastAsia="uk-UA"/>
              </w:rPr>
              <w:t>нада</w:t>
            </w:r>
            <w:r w:rsidR="00242A57">
              <w:rPr>
                <w:b/>
                <w:bCs/>
                <w:sz w:val="26"/>
                <w:szCs w:val="26"/>
                <w:lang w:eastAsia="uk-UA"/>
              </w:rPr>
              <w:t>є</w:t>
            </w:r>
            <w:r w:rsidRPr="002C5130">
              <w:rPr>
                <w:b/>
                <w:bCs/>
                <w:sz w:val="26"/>
                <w:szCs w:val="26"/>
                <w:lang w:eastAsia="uk-UA"/>
              </w:rPr>
              <w:t xml:space="preserve"> КНП "ТМО "Багатопрофільна лікарня інтенсивних методів лікування та ШМД" ММР ЗО</w:t>
            </w:r>
          </w:p>
          <w:tbl>
            <w:tblPr>
              <w:tblW w:w="9387" w:type="dxa"/>
              <w:tblLook w:val="04A0" w:firstRow="1" w:lastRow="0" w:firstColumn="1" w:lastColumn="0" w:noHBand="0" w:noVBand="1"/>
            </w:tblPr>
            <w:tblGrid>
              <w:gridCol w:w="680"/>
              <w:gridCol w:w="4875"/>
              <w:gridCol w:w="2694"/>
              <w:gridCol w:w="1138"/>
            </w:tblGrid>
            <w:tr w:rsidR="006317AE" w:rsidRPr="006317AE" w:rsidTr="006317AE">
              <w:trPr>
                <w:trHeight w:val="57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17AE">
                    <w:rPr>
                      <w:b/>
                      <w:bCs/>
                      <w:sz w:val="22"/>
                      <w:szCs w:val="22"/>
                    </w:rPr>
                    <w:t>№ з/п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17AE">
                    <w:rPr>
                      <w:b/>
                      <w:bCs/>
                      <w:sz w:val="22"/>
                      <w:szCs w:val="22"/>
                    </w:rPr>
                    <w:t>Найменування послуги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17AE">
                    <w:rPr>
                      <w:b/>
                      <w:bCs/>
                      <w:sz w:val="22"/>
                      <w:szCs w:val="22"/>
                    </w:rPr>
                    <w:t>Одиниця виміру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317AE">
                    <w:rPr>
                      <w:b/>
                      <w:bCs/>
                      <w:sz w:val="22"/>
                      <w:szCs w:val="22"/>
                    </w:rPr>
                    <w:t>Вартість послуги, грн.</w:t>
                  </w:r>
                </w:p>
              </w:tc>
            </w:tr>
            <w:tr w:rsidR="006317AE" w:rsidRPr="006317AE" w:rsidTr="006317AE">
              <w:trPr>
                <w:trHeight w:val="33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лікаря-терапевта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20,00</w:t>
                  </w:r>
                </w:p>
              </w:tc>
            </w:tr>
            <w:tr w:rsidR="006317AE" w:rsidRPr="006317AE" w:rsidTr="006317AE">
              <w:trPr>
                <w:trHeight w:val="406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лікаря-хірурга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25,00</w:t>
                  </w:r>
                </w:p>
              </w:tc>
            </w:tr>
            <w:tr w:rsidR="006317AE" w:rsidRPr="006317AE" w:rsidTr="006317AE">
              <w:trPr>
                <w:trHeight w:val="36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лікаря-кардіолога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24,00</w:t>
                  </w:r>
                </w:p>
              </w:tc>
            </w:tr>
            <w:tr w:rsidR="006317AE" w:rsidRPr="006317AE" w:rsidTr="006317AE">
              <w:trPr>
                <w:trHeight w:val="332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лікаря-офтальмолога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22,00</w:t>
                  </w:r>
                </w:p>
              </w:tc>
            </w:tr>
            <w:tr w:rsidR="006317AE" w:rsidRPr="006317AE" w:rsidTr="006317AE">
              <w:trPr>
                <w:trHeight w:val="2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лікаря-невропатолога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19,00</w:t>
                  </w:r>
                </w:p>
              </w:tc>
            </w:tr>
            <w:tr w:rsidR="006317AE" w:rsidRPr="006317AE" w:rsidTr="006317AE">
              <w:trPr>
                <w:trHeight w:val="269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</w:t>
                  </w:r>
                  <w:r w:rsidR="005B0365" w:rsidRPr="006317AE">
                    <w:rPr>
                      <w:sz w:val="22"/>
                      <w:szCs w:val="22"/>
                    </w:rPr>
                    <w:t>отоларинголога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19,00</w:t>
                  </w:r>
                </w:p>
              </w:tc>
            </w:tr>
            <w:tr w:rsidR="006317AE" w:rsidRPr="006317AE" w:rsidTr="006317AE">
              <w:trPr>
                <w:trHeight w:val="27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лікаря-уролога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25,00</w:t>
                  </w:r>
                </w:p>
              </w:tc>
            </w:tr>
            <w:tr w:rsidR="006317AE" w:rsidRPr="006317AE" w:rsidTr="006317AE">
              <w:trPr>
                <w:trHeight w:val="263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лікаря-гінеколога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30,00</w:t>
                  </w:r>
                </w:p>
              </w:tc>
            </w:tr>
            <w:tr w:rsidR="006317AE" w:rsidRPr="006317AE" w:rsidTr="006317AE">
              <w:trPr>
                <w:trHeight w:val="281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</w:t>
                  </w:r>
                  <w:proofErr w:type="spellStart"/>
                  <w:r w:rsidRPr="006317AE">
                    <w:rPr>
                      <w:sz w:val="22"/>
                      <w:szCs w:val="22"/>
                    </w:rPr>
                    <w:t>дерматовенеролога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24,00</w:t>
                  </w:r>
                </w:p>
              </w:tc>
            </w:tr>
            <w:tr w:rsidR="006317AE" w:rsidRPr="006317AE" w:rsidTr="006317AE">
              <w:trPr>
                <w:trHeight w:val="271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Огляд лікаря-стоматолога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відвідування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25,00</w:t>
                  </w:r>
                </w:p>
              </w:tc>
            </w:tr>
            <w:tr w:rsidR="006317AE" w:rsidRPr="006317AE" w:rsidTr="006317AE">
              <w:trPr>
                <w:trHeight w:val="27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ЕКГ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25,00</w:t>
                  </w:r>
                </w:p>
              </w:tc>
            </w:tr>
            <w:tr w:rsidR="006317AE" w:rsidRPr="006317AE" w:rsidTr="006317AE">
              <w:trPr>
                <w:trHeight w:val="279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ФВД (функція зовнішнього дихання)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32,00</w:t>
                  </w:r>
                </w:p>
              </w:tc>
            </w:tr>
            <w:tr w:rsidR="006317AE" w:rsidRPr="006317AE" w:rsidTr="006317AE">
              <w:trPr>
                <w:trHeight w:val="37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ФВД з </w:t>
                  </w:r>
                  <w:proofErr w:type="spellStart"/>
                  <w:r w:rsidRPr="006317AE">
                    <w:rPr>
                      <w:sz w:val="22"/>
                      <w:szCs w:val="22"/>
                    </w:rPr>
                    <w:t>фармакотестом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48,00</w:t>
                  </w:r>
                </w:p>
              </w:tc>
            </w:tr>
            <w:tr w:rsidR="006317AE" w:rsidRPr="006317AE" w:rsidTr="006317AE">
              <w:trPr>
                <w:trHeight w:val="4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Динамометрія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317AE" w:rsidRPr="006317AE" w:rsidTr="006317AE">
              <w:trPr>
                <w:trHeight w:val="4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Вібраційна чутливість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317AE" w:rsidRPr="006317AE" w:rsidTr="006317AE">
              <w:trPr>
                <w:trHeight w:val="4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5B0365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Аудіометрія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14,00</w:t>
                  </w:r>
                </w:p>
              </w:tc>
            </w:tr>
            <w:tr w:rsidR="006317AE" w:rsidRPr="006317AE" w:rsidTr="006317AE">
              <w:trPr>
                <w:trHeight w:val="4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Обстеження вестибулярного апарату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11,00</w:t>
                  </w:r>
                </w:p>
              </w:tc>
            </w:tr>
            <w:tr w:rsidR="006317AE" w:rsidRPr="006317AE" w:rsidTr="006317AE">
              <w:trPr>
                <w:trHeight w:val="43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Обстеження гостроти і полів зору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11,00</w:t>
                  </w:r>
                </w:p>
              </w:tc>
            </w:tr>
            <w:tr w:rsidR="006317AE" w:rsidRPr="006317AE" w:rsidTr="006317AE">
              <w:trPr>
                <w:trHeight w:val="43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Дослідження очного </w:t>
                  </w:r>
                  <w:proofErr w:type="spellStart"/>
                  <w:r w:rsidRPr="006317AE">
                    <w:rPr>
                      <w:sz w:val="22"/>
                      <w:szCs w:val="22"/>
                    </w:rPr>
                    <w:t>дна</w:t>
                  </w:r>
                  <w:proofErr w:type="spellEnd"/>
                  <w:r w:rsidRPr="006317AE">
                    <w:rPr>
                      <w:sz w:val="22"/>
                      <w:szCs w:val="22"/>
                    </w:rPr>
                    <w:t xml:space="preserve"> (офтальмоскопія)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11,00</w:t>
                  </w:r>
                </w:p>
              </w:tc>
            </w:tr>
            <w:tr w:rsidR="006317AE" w:rsidRPr="006317AE" w:rsidTr="006317AE">
              <w:trPr>
                <w:trHeight w:val="37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proofErr w:type="spellStart"/>
                  <w:r w:rsidRPr="006317AE">
                    <w:rPr>
                      <w:sz w:val="22"/>
                      <w:szCs w:val="22"/>
                    </w:rPr>
                    <w:t>Кольпоскопія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26,00</w:t>
                  </w:r>
                </w:p>
              </w:tc>
            </w:tr>
            <w:tr w:rsidR="006317AE" w:rsidRPr="006317AE" w:rsidTr="006317AE">
              <w:trPr>
                <w:trHeight w:val="39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5B0365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Забі</w:t>
                  </w:r>
                  <w:r w:rsidR="006317AE" w:rsidRPr="006317AE">
                    <w:rPr>
                      <w:sz w:val="22"/>
                      <w:szCs w:val="22"/>
                    </w:rPr>
                    <w:t xml:space="preserve">р </w:t>
                  </w:r>
                  <w:proofErr w:type="spellStart"/>
                  <w:r w:rsidR="006317AE" w:rsidRPr="006317AE">
                    <w:rPr>
                      <w:sz w:val="22"/>
                      <w:szCs w:val="22"/>
                    </w:rPr>
                    <w:t>матеріала</w:t>
                  </w:r>
                  <w:proofErr w:type="spellEnd"/>
                  <w:r w:rsidR="006317AE" w:rsidRPr="006317AE">
                    <w:rPr>
                      <w:sz w:val="22"/>
                      <w:szCs w:val="22"/>
                    </w:rPr>
                    <w:t xml:space="preserve"> та дослідження на кишкову групу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дослідження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64,00</w:t>
                  </w:r>
                </w:p>
              </w:tc>
            </w:tr>
            <w:tr w:rsidR="006317AE" w:rsidRPr="006317AE" w:rsidTr="006317AE">
              <w:trPr>
                <w:trHeight w:val="483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5B0365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Забі</w:t>
                  </w:r>
                  <w:r w:rsidR="006317AE" w:rsidRPr="006317AE">
                    <w:rPr>
                      <w:sz w:val="22"/>
                      <w:szCs w:val="22"/>
                    </w:rPr>
                    <w:t xml:space="preserve">р </w:t>
                  </w:r>
                  <w:proofErr w:type="spellStart"/>
                  <w:r w:rsidR="006317AE" w:rsidRPr="006317AE">
                    <w:rPr>
                      <w:sz w:val="22"/>
                      <w:szCs w:val="22"/>
                    </w:rPr>
                    <w:t>матеріала</w:t>
                  </w:r>
                  <w:proofErr w:type="spellEnd"/>
                  <w:r w:rsidR="006317AE" w:rsidRPr="006317AE">
                    <w:rPr>
                      <w:sz w:val="22"/>
                      <w:szCs w:val="22"/>
                    </w:rPr>
                    <w:t xml:space="preserve"> та дослідження на </w:t>
                  </w:r>
                  <w:proofErr w:type="spellStart"/>
                  <w:r w:rsidR="006317AE" w:rsidRPr="006317AE">
                    <w:rPr>
                      <w:sz w:val="22"/>
                      <w:szCs w:val="22"/>
                    </w:rPr>
                    <w:t>стафилококкову</w:t>
                  </w:r>
                  <w:proofErr w:type="spellEnd"/>
                  <w:r w:rsidR="006317AE" w:rsidRPr="006317AE">
                    <w:rPr>
                      <w:sz w:val="22"/>
                      <w:szCs w:val="22"/>
                    </w:rPr>
                    <w:t xml:space="preserve"> інфекцію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 дослідження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47,00</w:t>
                  </w:r>
                </w:p>
              </w:tc>
            </w:tr>
            <w:tr w:rsidR="006317AE" w:rsidRPr="006317AE" w:rsidTr="006317AE">
              <w:trPr>
                <w:trHeight w:val="4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ВЕМ (</w:t>
                  </w:r>
                  <w:proofErr w:type="spellStart"/>
                  <w:r w:rsidRPr="006317AE">
                    <w:rPr>
                      <w:sz w:val="22"/>
                      <w:szCs w:val="22"/>
                    </w:rPr>
                    <w:t>велоергометрія</w:t>
                  </w:r>
                  <w:proofErr w:type="spellEnd"/>
                  <w:r w:rsidRPr="006317AE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176,00</w:t>
                  </w:r>
                </w:p>
              </w:tc>
            </w:tr>
            <w:tr w:rsidR="006317AE" w:rsidRPr="006317AE" w:rsidTr="006317AE">
              <w:trPr>
                <w:trHeight w:val="4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proofErr w:type="spellStart"/>
                  <w:r w:rsidRPr="006317AE">
                    <w:rPr>
                      <w:sz w:val="22"/>
                      <w:szCs w:val="22"/>
                    </w:rPr>
                    <w:t>Холтер</w:t>
                  </w:r>
                  <w:proofErr w:type="spellEnd"/>
                  <w:r w:rsidRPr="006317AE">
                    <w:rPr>
                      <w:sz w:val="22"/>
                      <w:szCs w:val="22"/>
                    </w:rPr>
                    <w:t xml:space="preserve"> ЕКГ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346,00</w:t>
                  </w:r>
                </w:p>
              </w:tc>
            </w:tr>
            <w:tr w:rsidR="006317AE" w:rsidRPr="006317AE" w:rsidTr="006317AE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Флюорографія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29,00</w:t>
                  </w:r>
                </w:p>
              </w:tc>
            </w:tr>
            <w:tr w:rsidR="006317AE" w:rsidRPr="006317AE" w:rsidTr="006317AE">
              <w:trPr>
                <w:trHeight w:val="379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48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Рентгенографія ОГП (органів грудної порожнини)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 xml:space="preserve">1 процедура </w:t>
                  </w:r>
                </w:p>
              </w:tc>
              <w:tc>
                <w:tcPr>
                  <w:tcW w:w="11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317AE" w:rsidRPr="006317AE" w:rsidRDefault="006317AE" w:rsidP="006317AE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 w:rsidRPr="006317AE">
                    <w:rPr>
                      <w:sz w:val="22"/>
                      <w:szCs w:val="22"/>
                    </w:rPr>
                    <w:t>63,00</w:t>
                  </w:r>
                </w:p>
              </w:tc>
            </w:tr>
          </w:tbl>
          <w:p w:rsidR="006317AE" w:rsidRDefault="006317AE" w:rsidP="006317AE">
            <w:pPr>
              <w:rPr>
                <w:sz w:val="26"/>
                <w:szCs w:val="26"/>
              </w:rPr>
            </w:pPr>
          </w:p>
          <w:p w:rsidR="006317AE" w:rsidRPr="001B0EBE" w:rsidRDefault="006317AE" w:rsidP="006317AE">
            <w:pPr>
              <w:rPr>
                <w:sz w:val="26"/>
                <w:szCs w:val="26"/>
              </w:rPr>
            </w:pPr>
            <w:r w:rsidRPr="001B0EBE">
              <w:rPr>
                <w:sz w:val="26"/>
                <w:szCs w:val="26"/>
              </w:rPr>
              <w:t>Начальник відділу охорони здоров’я</w:t>
            </w:r>
          </w:p>
          <w:p w:rsidR="006317AE" w:rsidRDefault="006317AE" w:rsidP="006317AE">
            <w:pPr>
              <w:rPr>
                <w:sz w:val="26"/>
                <w:szCs w:val="26"/>
              </w:rPr>
            </w:pPr>
            <w:r w:rsidRPr="001B0EBE">
              <w:rPr>
                <w:sz w:val="26"/>
                <w:szCs w:val="26"/>
              </w:rPr>
              <w:t xml:space="preserve">Мелітопольської міської ради Запорізької області            </w:t>
            </w:r>
            <w:r>
              <w:rPr>
                <w:sz w:val="26"/>
                <w:szCs w:val="26"/>
              </w:rPr>
              <w:t xml:space="preserve">          </w:t>
            </w:r>
            <w:r w:rsidRPr="001B0EBE">
              <w:rPr>
                <w:sz w:val="26"/>
                <w:szCs w:val="26"/>
              </w:rPr>
              <w:t>Лариса САПРИКІНА</w:t>
            </w:r>
          </w:p>
          <w:p w:rsidR="006317AE" w:rsidRPr="002C5130" w:rsidRDefault="006317AE" w:rsidP="00242A57">
            <w:pPr>
              <w:suppressAutoHyphens w:val="0"/>
              <w:jc w:val="center"/>
              <w:rPr>
                <w:b/>
                <w:bCs/>
                <w:sz w:val="26"/>
                <w:szCs w:val="26"/>
                <w:lang w:eastAsia="uk-UA"/>
              </w:rPr>
            </w:pPr>
          </w:p>
        </w:tc>
      </w:tr>
    </w:tbl>
    <w:p w:rsidR="004D6C73" w:rsidRDefault="004D6C73">
      <w:pPr>
        <w:rPr>
          <w:sz w:val="28"/>
          <w:szCs w:val="28"/>
        </w:rPr>
      </w:pPr>
    </w:p>
    <w:sectPr w:rsidR="004D6C73" w:rsidSect="006317AE">
      <w:headerReference w:type="default" r:id="rId9"/>
      <w:headerReference w:type="first" r:id="rId10"/>
      <w:pgSz w:w="11906" w:h="16838"/>
      <w:pgMar w:top="1134" w:right="567" w:bottom="851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A6" w:rsidRDefault="002A44A6" w:rsidP="008C6397">
      <w:r>
        <w:separator/>
      </w:r>
    </w:p>
  </w:endnote>
  <w:endnote w:type="continuationSeparator" w:id="0">
    <w:p w:rsidR="002A44A6" w:rsidRDefault="002A44A6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A6" w:rsidRDefault="002A44A6" w:rsidP="008C6397">
      <w:r>
        <w:separator/>
      </w:r>
    </w:p>
  </w:footnote>
  <w:footnote w:type="continuationSeparator" w:id="0">
    <w:p w:rsidR="002A44A6" w:rsidRDefault="002A44A6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C4" w:rsidRDefault="009A69C4">
    <w:pPr>
      <w:pStyle w:val="aa"/>
      <w:jc w:val="center"/>
    </w:pPr>
  </w:p>
  <w:p w:rsidR="008C6397" w:rsidRDefault="008C63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869471"/>
      <w:docPartObj>
        <w:docPartGallery w:val="Page Numbers (Top of Page)"/>
        <w:docPartUnique/>
      </w:docPartObj>
    </w:sdtPr>
    <w:sdtEndPr/>
    <w:sdtContent>
      <w:p w:rsidR="009A69C4" w:rsidRDefault="002A44A6">
        <w:pPr>
          <w:pStyle w:val="aa"/>
          <w:jc w:val="center"/>
        </w:pPr>
      </w:p>
    </w:sdtContent>
  </w:sdt>
  <w:p w:rsidR="00E034EA" w:rsidRDefault="00E034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0516BB"/>
    <w:rsid w:val="00053EC2"/>
    <w:rsid w:val="0007516D"/>
    <w:rsid w:val="00093B3F"/>
    <w:rsid w:val="00097D01"/>
    <w:rsid w:val="000A629B"/>
    <w:rsid w:val="000A6F32"/>
    <w:rsid w:val="000D2994"/>
    <w:rsid w:val="00116FC9"/>
    <w:rsid w:val="00131B4D"/>
    <w:rsid w:val="0013437F"/>
    <w:rsid w:val="00136016"/>
    <w:rsid w:val="00146FF2"/>
    <w:rsid w:val="00166DF5"/>
    <w:rsid w:val="00175176"/>
    <w:rsid w:val="001B0EBE"/>
    <w:rsid w:val="001C3088"/>
    <w:rsid w:val="001D25E5"/>
    <w:rsid w:val="001F3E6D"/>
    <w:rsid w:val="001F6114"/>
    <w:rsid w:val="00240CF2"/>
    <w:rsid w:val="00242A57"/>
    <w:rsid w:val="002775F0"/>
    <w:rsid w:val="00286EE1"/>
    <w:rsid w:val="002A44A6"/>
    <w:rsid w:val="002C5130"/>
    <w:rsid w:val="002E4F90"/>
    <w:rsid w:val="002F6F29"/>
    <w:rsid w:val="00326FE8"/>
    <w:rsid w:val="0034787E"/>
    <w:rsid w:val="00361234"/>
    <w:rsid w:val="00363C3C"/>
    <w:rsid w:val="00381C98"/>
    <w:rsid w:val="003A5519"/>
    <w:rsid w:val="003A6EB7"/>
    <w:rsid w:val="00417ED5"/>
    <w:rsid w:val="00433531"/>
    <w:rsid w:val="00455F1D"/>
    <w:rsid w:val="004B5A00"/>
    <w:rsid w:val="004D6C73"/>
    <w:rsid w:val="00540BB6"/>
    <w:rsid w:val="005412CA"/>
    <w:rsid w:val="00594E7A"/>
    <w:rsid w:val="005A52FC"/>
    <w:rsid w:val="005B0365"/>
    <w:rsid w:val="005B59DA"/>
    <w:rsid w:val="005E1DEF"/>
    <w:rsid w:val="00604842"/>
    <w:rsid w:val="00615AEC"/>
    <w:rsid w:val="006317AE"/>
    <w:rsid w:val="00637E7A"/>
    <w:rsid w:val="006622F1"/>
    <w:rsid w:val="00700DA9"/>
    <w:rsid w:val="00706D14"/>
    <w:rsid w:val="00760C4A"/>
    <w:rsid w:val="007613BF"/>
    <w:rsid w:val="00763450"/>
    <w:rsid w:val="00783E3E"/>
    <w:rsid w:val="00793AAD"/>
    <w:rsid w:val="00804F45"/>
    <w:rsid w:val="008124CF"/>
    <w:rsid w:val="00840456"/>
    <w:rsid w:val="008B1EC5"/>
    <w:rsid w:val="008B3681"/>
    <w:rsid w:val="008C6397"/>
    <w:rsid w:val="00904D4D"/>
    <w:rsid w:val="00907934"/>
    <w:rsid w:val="00930EB9"/>
    <w:rsid w:val="009452DB"/>
    <w:rsid w:val="00957A73"/>
    <w:rsid w:val="009638FF"/>
    <w:rsid w:val="00983C49"/>
    <w:rsid w:val="009952B7"/>
    <w:rsid w:val="009A69C4"/>
    <w:rsid w:val="009B546C"/>
    <w:rsid w:val="009C064A"/>
    <w:rsid w:val="009D1CC1"/>
    <w:rsid w:val="009D348C"/>
    <w:rsid w:val="009E63C7"/>
    <w:rsid w:val="009E7E67"/>
    <w:rsid w:val="00A0178E"/>
    <w:rsid w:val="00A0527B"/>
    <w:rsid w:val="00A46A92"/>
    <w:rsid w:val="00A73CEE"/>
    <w:rsid w:val="00AD50B5"/>
    <w:rsid w:val="00AD52E4"/>
    <w:rsid w:val="00AF1254"/>
    <w:rsid w:val="00AF22EC"/>
    <w:rsid w:val="00B227EE"/>
    <w:rsid w:val="00B3547B"/>
    <w:rsid w:val="00B3557D"/>
    <w:rsid w:val="00B416F6"/>
    <w:rsid w:val="00B64E75"/>
    <w:rsid w:val="00B65338"/>
    <w:rsid w:val="00B81191"/>
    <w:rsid w:val="00B90CAA"/>
    <w:rsid w:val="00B92A3E"/>
    <w:rsid w:val="00B92DB5"/>
    <w:rsid w:val="00BB629C"/>
    <w:rsid w:val="00BD14BC"/>
    <w:rsid w:val="00C0776A"/>
    <w:rsid w:val="00C926D1"/>
    <w:rsid w:val="00CC16A6"/>
    <w:rsid w:val="00CC2929"/>
    <w:rsid w:val="00CC405B"/>
    <w:rsid w:val="00CD62E7"/>
    <w:rsid w:val="00CE3780"/>
    <w:rsid w:val="00CE637A"/>
    <w:rsid w:val="00CE7C3D"/>
    <w:rsid w:val="00D01616"/>
    <w:rsid w:val="00D11DEB"/>
    <w:rsid w:val="00D36F6A"/>
    <w:rsid w:val="00D519C4"/>
    <w:rsid w:val="00DE290F"/>
    <w:rsid w:val="00DF35CF"/>
    <w:rsid w:val="00E034EA"/>
    <w:rsid w:val="00E37F41"/>
    <w:rsid w:val="00E41BA2"/>
    <w:rsid w:val="00E46833"/>
    <w:rsid w:val="00E559DC"/>
    <w:rsid w:val="00E56DCA"/>
    <w:rsid w:val="00E9626F"/>
    <w:rsid w:val="00EC63ED"/>
    <w:rsid w:val="00F03F10"/>
    <w:rsid w:val="00F219E8"/>
    <w:rsid w:val="00F405AA"/>
    <w:rsid w:val="00F56D2F"/>
    <w:rsid w:val="00FA1607"/>
    <w:rsid w:val="00FA2678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2FB96"/>
  <w15:docId w15:val="{6CF819B8-8A80-40AD-BC91-AB7B1D3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customStyle="1" w:styleId="western">
    <w:name w:val="western"/>
    <w:basedOn w:val="a"/>
    <w:rsid w:val="004D6C73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62DDF-9030-4FFB-A78D-A1BB0C28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5</cp:revision>
  <cp:lastPrinted>2019-11-19T14:13:00Z</cp:lastPrinted>
  <dcterms:created xsi:type="dcterms:W3CDTF">2019-11-26T13:26:00Z</dcterms:created>
  <dcterms:modified xsi:type="dcterms:W3CDTF">2021-11-18T13:55:00Z</dcterms:modified>
  <dc:language>ru-RU</dc:language>
</cp:coreProperties>
</file>